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E83474" w:rsidRDefault="00F92268" w:rsidP="00850792">
      <w:pPr>
        <w:pStyle w:val="BodyText"/>
        <w:rPr>
          <w:sz w:val="6"/>
          <w:szCs w:val="6"/>
        </w:rPr>
      </w:pPr>
      <w:r w:rsidRPr="00E8347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8347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83474" w:rsidRDefault="00F92268" w:rsidP="00F246C7">
            <w:pPr>
              <w:pStyle w:val="RefTableData"/>
            </w:pPr>
            <w:r w:rsidRPr="00E83474">
              <w:t>Reference number(s)</w:t>
            </w:r>
          </w:p>
        </w:tc>
      </w:tr>
      <w:tr w:rsidR="00F92268" w:rsidRPr="00E8347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9F42CC7" w:rsidR="00F92268" w:rsidRPr="00E83474" w:rsidRDefault="007C1CC5" w:rsidP="00F246C7">
            <w:pPr>
              <w:pStyle w:val="RefTableHeader"/>
            </w:pPr>
            <w:r w:rsidRPr="00E83474">
              <w:t>1620-A</w:t>
            </w:r>
          </w:p>
        </w:tc>
      </w:tr>
    </w:tbl>
    <w:p w14:paraId="74FBA5B4" w14:textId="77777777" w:rsidR="00051356" w:rsidRPr="00E83474" w:rsidRDefault="00051356" w:rsidP="00A672B3">
      <w:pPr>
        <w:pStyle w:val="BodyText"/>
        <w:rPr>
          <w:b/>
          <w:bCs/>
          <w:sz w:val="16"/>
          <w:szCs w:val="16"/>
        </w:rPr>
        <w:sectPr w:rsidR="00051356" w:rsidRPr="00E83474" w:rsidSect="00B5242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C8A59EE" w:rsidR="004B15BB" w:rsidRPr="00E83474" w:rsidRDefault="003D6FCB" w:rsidP="007E5C16">
      <w:pPr>
        <w:pStyle w:val="Heading1"/>
      </w:pPr>
      <w:r w:rsidRPr="00E83474">
        <w:t>Specialty Guideline Management</w:t>
      </w:r>
      <w:r w:rsidR="008C54D9" w:rsidRPr="00E83474">
        <w:br/>
      </w:r>
      <w:r w:rsidRPr="00E83474">
        <w:t>deferoxamine</w:t>
      </w:r>
      <w:r w:rsidR="003920A5">
        <w:t>-</w:t>
      </w:r>
      <w:r w:rsidR="003920A5" w:rsidRPr="00E83474">
        <w:t>Desferal</w:t>
      </w:r>
    </w:p>
    <w:p w14:paraId="78861C92" w14:textId="78D635A0" w:rsidR="00203468" w:rsidRPr="00E83474" w:rsidRDefault="00C64534" w:rsidP="008E0F0D">
      <w:pPr>
        <w:pStyle w:val="Heading2"/>
      </w:pPr>
      <w:r w:rsidRPr="00E83474">
        <w:t xml:space="preserve">Products Referenced by this </w:t>
      </w:r>
      <w:r w:rsidR="00501602" w:rsidRPr="00E83474">
        <w:t>Document</w:t>
      </w:r>
    </w:p>
    <w:p w14:paraId="5455152B" w14:textId="3607B8F4" w:rsidR="008E0F0D" w:rsidRPr="00E83474" w:rsidRDefault="00D82D85" w:rsidP="008B73E8">
      <w:pPr>
        <w:pStyle w:val="BodyText"/>
      </w:pPr>
      <w:r w:rsidRPr="00E83474">
        <w:t xml:space="preserve">Drugs that are listed in the </w:t>
      </w:r>
      <w:r w:rsidR="000315F1" w:rsidRPr="00E83474">
        <w:t>following table</w:t>
      </w:r>
      <w:r w:rsidRPr="00E83474">
        <w:t xml:space="preserve"> include both brand and generic and all dosage forms and strengths unless otherwise stated. </w:t>
      </w:r>
      <w:r w:rsidR="006B4A0C">
        <w:t>Over-the-counter (</w:t>
      </w:r>
      <w:r w:rsidRPr="00E83474">
        <w:t>OTC</w:t>
      </w:r>
      <w:r w:rsidR="006B4A0C">
        <w:t>)</w:t>
      </w:r>
      <w:r w:rsidRPr="00E8347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E83474" w14:paraId="158421F8" w14:textId="77777777" w:rsidTr="000C5A6F">
        <w:trPr>
          <w:cantSplit/>
          <w:trHeight w:val="288"/>
          <w:tblHeader/>
        </w:trPr>
        <w:tc>
          <w:tcPr>
            <w:tcW w:w="5265" w:type="dxa"/>
            <w:vAlign w:val="center"/>
          </w:tcPr>
          <w:p w14:paraId="2A27354A" w14:textId="1390179E" w:rsidR="00252CE1" w:rsidRPr="00E83474" w:rsidRDefault="00252CE1" w:rsidP="00AA1E6A">
            <w:pPr>
              <w:pStyle w:val="TableHeader"/>
            </w:pPr>
            <w:bookmarkStart w:id="0" w:name="_Hlk159603270"/>
            <w:r w:rsidRPr="00E83474">
              <w:t>Brand Name</w:t>
            </w:r>
          </w:p>
        </w:tc>
        <w:tc>
          <w:tcPr>
            <w:tcW w:w="5595" w:type="dxa"/>
            <w:vAlign w:val="center"/>
          </w:tcPr>
          <w:p w14:paraId="3D342BE1" w14:textId="75F11EF1" w:rsidR="00252CE1" w:rsidRPr="00E83474" w:rsidRDefault="00252CE1" w:rsidP="00AA1E6A">
            <w:pPr>
              <w:pStyle w:val="TableHeader"/>
            </w:pPr>
            <w:r w:rsidRPr="00E83474">
              <w:t>Generic Name</w:t>
            </w:r>
          </w:p>
        </w:tc>
      </w:tr>
      <w:tr w:rsidR="00585FFF" w:rsidRPr="00E83474" w14:paraId="2AD5C02D" w14:textId="77777777" w:rsidTr="000C5A6F">
        <w:trPr>
          <w:cantSplit/>
        </w:trPr>
        <w:tc>
          <w:tcPr>
            <w:tcW w:w="5265" w:type="dxa"/>
          </w:tcPr>
          <w:p w14:paraId="2D8FA8E3" w14:textId="41681049" w:rsidR="00585FFF" w:rsidRPr="00E83474" w:rsidRDefault="003D6FCB" w:rsidP="00E82ABA">
            <w:pPr>
              <w:pStyle w:val="TableDataUnpadded"/>
            </w:pPr>
            <w:r w:rsidRPr="00E83474">
              <w:t>Desferal</w:t>
            </w:r>
          </w:p>
        </w:tc>
        <w:tc>
          <w:tcPr>
            <w:tcW w:w="5595" w:type="dxa"/>
          </w:tcPr>
          <w:p w14:paraId="7E26A004" w14:textId="79A7584E" w:rsidR="00585FFF" w:rsidRPr="00E83474" w:rsidRDefault="00C60E78" w:rsidP="00E82ABA">
            <w:pPr>
              <w:pStyle w:val="TableDataUnpadded"/>
            </w:pPr>
            <w:r>
              <w:t>d</w:t>
            </w:r>
            <w:r w:rsidR="003D6FCB" w:rsidRPr="00E83474">
              <w:t>eferoxamine</w:t>
            </w:r>
            <w:r w:rsidR="0013234F">
              <w:t xml:space="preserve"> mesylate</w:t>
            </w:r>
          </w:p>
        </w:tc>
      </w:tr>
    </w:tbl>
    <w:bookmarkEnd w:id="0"/>
    <w:p w14:paraId="14CE6108" w14:textId="29200DBB" w:rsidR="00FC1AAD" w:rsidRPr="00E83474" w:rsidRDefault="00ED052F" w:rsidP="00AA2A94">
      <w:pPr>
        <w:pStyle w:val="Heading2"/>
        <w:tabs>
          <w:tab w:val="left" w:pos="9540"/>
        </w:tabs>
      </w:pPr>
      <w:r w:rsidRPr="00E83474">
        <w:t>Indications</w:t>
      </w:r>
    </w:p>
    <w:p w14:paraId="361A2198" w14:textId="58D7C61F" w:rsidR="003D6FCB" w:rsidRPr="00E83474" w:rsidRDefault="003D6FCB" w:rsidP="003D6FCB">
      <w:pPr>
        <w:pStyle w:val="BodyText"/>
      </w:pPr>
      <w:r w:rsidRPr="00E83474">
        <w:t>The indications below including FDA-approved indications and compendial uses are considered a covered benefit provided that all the approval criteria are met and the member has no exclusions to the prescribed therapy.</w:t>
      </w:r>
    </w:p>
    <w:p w14:paraId="134B5687" w14:textId="0DF3A6B5" w:rsidR="00ED052F" w:rsidRPr="00E83474" w:rsidRDefault="00ED052F" w:rsidP="00ED052F">
      <w:pPr>
        <w:pStyle w:val="Heading3"/>
        <w:keepNext w:val="0"/>
      </w:pPr>
      <w:r w:rsidRPr="00E83474">
        <w:t>FDA-</w:t>
      </w:r>
      <w:r w:rsidR="005249A1">
        <w:t>a</w:t>
      </w:r>
      <w:r w:rsidRPr="00E83474">
        <w:t>pproved Indications</w:t>
      </w:r>
      <w:r w:rsidR="003D6FCB" w:rsidRPr="00E83474">
        <w:rPr>
          <w:vertAlign w:val="superscript"/>
        </w:rPr>
        <w:t>1-</w:t>
      </w:r>
      <w:r w:rsidR="00804AAE">
        <w:rPr>
          <w:vertAlign w:val="superscript"/>
        </w:rPr>
        <w:t>4</w:t>
      </w:r>
    </w:p>
    <w:p w14:paraId="4C434745" w14:textId="71A38FE0" w:rsidR="00ED052F" w:rsidRPr="00E83474" w:rsidRDefault="003D6FCB" w:rsidP="00ED052F">
      <w:pPr>
        <w:pStyle w:val="BodyText"/>
      </w:pPr>
      <w:r w:rsidRPr="00E83474">
        <w:t>Transfusional iron overload in patients with chronic anemia</w:t>
      </w:r>
      <w:r w:rsidR="0053799A">
        <w:t>.</w:t>
      </w:r>
    </w:p>
    <w:p w14:paraId="0B5EC236" w14:textId="42E455DF" w:rsidR="0044763A" w:rsidRPr="00E83474" w:rsidRDefault="009F2EF1" w:rsidP="0044763A">
      <w:pPr>
        <w:pStyle w:val="Heading3"/>
      </w:pPr>
      <w:r w:rsidRPr="00E83474">
        <w:t>Compendial Uses</w:t>
      </w:r>
    </w:p>
    <w:p w14:paraId="743B7246" w14:textId="211C0953" w:rsidR="003D6FCB" w:rsidRPr="00E83474" w:rsidRDefault="003D6FCB" w:rsidP="003D6FCB">
      <w:pPr>
        <w:pStyle w:val="ListParagraph"/>
      </w:pPr>
      <w:r w:rsidRPr="00E83474">
        <w:t>Aluminum toxicity in patients undergoing dialysis</w:t>
      </w:r>
      <w:r w:rsidR="00804AAE">
        <w:rPr>
          <w:vertAlign w:val="superscript"/>
        </w:rPr>
        <w:t>3</w:t>
      </w:r>
      <w:r w:rsidRPr="00E83474">
        <w:rPr>
          <w:vertAlign w:val="superscript"/>
        </w:rPr>
        <w:t>,</w:t>
      </w:r>
      <w:r w:rsidR="00804AAE">
        <w:rPr>
          <w:vertAlign w:val="superscript"/>
        </w:rPr>
        <w:t>4</w:t>
      </w:r>
      <w:r w:rsidR="007E189C">
        <w:rPr>
          <w:vertAlign w:val="superscript"/>
        </w:rPr>
        <w:t>,6</w:t>
      </w:r>
    </w:p>
    <w:p w14:paraId="23655FC6" w14:textId="08C069DE" w:rsidR="003D6FCB" w:rsidRPr="00E83474" w:rsidRDefault="003D6FCB" w:rsidP="00DC07F3">
      <w:pPr>
        <w:pStyle w:val="ListParagraph"/>
        <w:spacing w:after="120"/>
      </w:pPr>
      <w:r w:rsidRPr="00E83474">
        <w:t>Hereditary hemochromatosis</w:t>
      </w:r>
      <w:r w:rsidR="00804AAE">
        <w:rPr>
          <w:vertAlign w:val="superscript"/>
        </w:rPr>
        <w:t>3</w:t>
      </w:r>
      <w:r w:rsidRPr="00E83474">
        <w:rPr>
          <w:vertAlign w:val="superscript"/>
        </w:rPr>
        <w:t>,</w:t>
      </w:r>
      <w:r w:rsidR="00804AAE">
        <w:rPr>
          <w:vertAlign w:val="superscript"/>
        </w:rPr>
        <w:t>7</w:t>
      </w:r>
      <w:r w:rsidRPr="00E83474">
        <w:rPr>
          <w:vertAlign w:val="superscript"/>
        </w:rPr>
        <w:t>,</w:t>
      </w:r>
      <w:r w:rsidR="00804AAE">
        <w:rPr>
          <w:vertAlign w:val="superscript"/>
        </w:rPr>
        <w:t>8</w:t>
      </w:r>
    </w:p>
    <w:p w14:paraId="0D5A9DD5" w14:textId="031803E7" w:rsidR="009A5649" w:rsidRPr="00E83474" w:rsidRDefault="003D6FCB" w:rsidP="009F7312">
      <w:pPr>
        <w:pStyle w:val="BodyText"/>
        <w:rPr>
          <w:rFonts w:eastAsia="Arial"/>
        </w:rPr>
      </w:pPr>
      <w:r w:rsidRPr="00E83474">
        <w:t xml:space="preserve">All other indications </w:t>
      </w:r>
      <w:r w:rsidRPr="009F7312">
        <w:t>are</w:t>
      </w:r>
      <w:r w:rsidRPr="00E83474">
        <w:t xml:space="preserve"> considered experimental/investigational and not medically necessary.</w:t>
      </w:r>
    </w:p>
    <w:p w14:paraId="36381B6D" w14:textId="00C62DE2" w:rsidR="000D2496" w:rsidRPr="00E83474" w:rsidRDefault="000D2496" w:rsidP="000D2496">
      <w:pPr>
        <w:pStyle w:val="Heading2"/>
      </w:pPr>
      <w:r w:rsidRPr="00E83474">
        <w:t>Documentation</w:t>
      </w:r>
    </w:p>
    <w:p w14:paraId="33B723D4" w14:textId="77777777" w:rsidR="003D6FCB" w:rsidRPr="00E83474" w:rsidRDefault="003D6FCB" w:rsidP="003D6FCB">
      <w:pPr>
        <w:pStyle w:val="BodyText"/>
      </w:pPr>
      <w:r w:rsidRPr="00E83474">
        <w:t>Submission of the following information is necessary to initiate the prior authorization review:</w:t>
      </w:r>
    </w:p>
    <w:p w14:paraId="13E65329" w14:textId="79092DD9" w:rsidR="003D6FCB" w:rsidRPr="00E83474" w:rsidRDefault="003D6FCB" w:rsidP="003D6FCB">
      <w:pPr>
        <w:pStyle w:val="BodyText"/>
      </w:pPr>
      <w:r w:rsidRPr="00E83474">
        <w:lastRenderedPageBreak/>
        <w:t xml:space="preserve">Transfusional </w:t>
      </w:r>
      <w:r w:rsidR="005249A1">
        <w:t>i</w:t>
      </w:r>
      <w:r w:rsidRPr="00E83474">
        <w:t xml:space="preserve">ron </w:t>
      </w:r>
      <w:r w:rsidR="005249A1">
        <w:t>o</w:t>
      </w:r>
      <w:r w:rsidRPr="00E83474">
        <w:t>verload</w:t>
      </w:r>
      <w:r w:rsidR="005249A1">
        <w:t xml:space="preserve"> in chronic anemia</w:t>
      </w:r>
      <w:r w:rsidRPr="00E83474">
        <w:t>:</w:t>
      </w:r>
    </w:p>
    <w:p w14:paraId="061108E4" w14:textId="75087C61" w:rsidR="003D6FCB" w:rsidRPr="00E83474" w:rsidRDefault="003D6FCB" w:rsidP="009F7312">
      <w:pPr>
        <w:pStyle w:val="ListParagraph"/>
        <w:numPr>
          <w:ilvl w:val="0"/>
          <w:numId w:val="28"/>
        </w:numPr>
      </w:pPr>
      <w:r w:rsidRPr="00E83474">
        <w:t>Initial requests: pretreatment serum ferritin level</w:t>
      </w:r>
    </w:p>
    <w:p w14:paraId="2180ED6E" w14:textId="571ED8A3" w:rsidR="000D2496" w:rsidRPr="00E83474" w:rsidRDefault="003D6FCB" w:rsidP="009F7312">
      <w:pPr>
        <w:pStyle w:val="ListParagraph"/>
        <w:numPr>
          <w:ilvl w:val="0"/>
          <w:numId w:val="28"/>
        </w:numPr>
      </w:pPr>
      <w:r w:rsidRPr="00E83474">
        <w:t>Continuation requests: current serum ferritin level</w:t>
      </w:r>
    </w:p>
    <w:p w14:paraId="50A38FBA" w14:textId="69FF0400" w:rsidR="00FE0C63" w:rsidRPr="00E83474" w:rsidRDefault="00685107" w:rsidP="00E050E1">
      <w:pPr>
        <w:pStyle w:val="Heading2"/>
      </w:pPr>
      <w:r w:rsidRPr="00E83474">
        <w:t>Coverage Criteria</w:t>
      </w:r>
    </w:p>
    <w:p w14:paraId="19E646BF" w14:textId="57E247ED" w:rsidR="00B62807" w:rsidRPr="00E83474" w:rsidRDefault="00B62807" w:rsidP="00B62807">
      <w:pPr>
        <w:pStyle w:val="Heading3"/>
      </w:pPr>
      <w:r w:rsidRPr="00E83474">
        <w:t>Transfusional Iron Overload in Chronic Anemia</w:t>
      </w:r>
      <w:r w:rsidRPr="00E83474">
        <w:rPr>
          <w:vertAlign w:val="superscript"/>
        </w:rPr>
        <w:t>1,2,</w:t>
      </w:r>
      <w:r w:rsidR="00804AAE">
        <w:rPr>
          <w:vertAlign w:val="superscript"/>
        </w:rPr>
        <w:t>5</w:t>
      </w:r>
      <w:r w:rsidRPr="00E83474">
        <w:rPr>
          <w:vertAlign w:val="superscript"/>
        </w:rPr>
        <w:t>,</w:t>
      </w:r>
      <w:r w:rsidR="00804AAE">
        <w:rPr>
          <w:vertAlign w:val="superscript"/>
        </w:rPr>
        <w:t>6</w:t>
      </w:r>
    </w:p>
    <w:p w14:paraId="2C9592EF" w14:textId="1EEE378D" w:rsidR="00B62807" w:rsidRPr="00E83474" w:rsidRDefault="00B62807" w:rsidP="00B62807">
      <w:pPr>
        <w:pStyle w:val="BodyText"/>
      </w:pPr>
      <w:r w:rsidRPr="00E83474">
        <w:t xml:space="preserve">Authorization of </w:t>
      </w:r>
      <w:r w:rsidR="0065258E">
        <w:t>12</w:t>
      </w:r>
      <w:r w:rsidRPr="00E83474">
        <w:t xml:space="preserve"> months may be granted for treatment of transfusional iron overload in members with chronic anemia when the pretreatment serum ferritin level is consistently greater than 1000 mcg/L.</w:t>
      </w:r>
    </w:p>
    <w:p w14:paraId="01329FEA" w14:textId="2DBE89FE" w:rsidR="00B62807" w:rsidRPr="00E83474" w:rsidRDefault="00B62807" w:rsidP="00B62807">
      <w:pPr>
        <w:pStyle w:val="Heading3"/>
      </w:pPr>
      <w:r w:rsidRPr="00E83474">
        <w:t>Aluminum Toxicity in Members Undergoing Dialysis</w:t>
      </w:r>
      <w:r w:rsidR="00804AAE">
        <w:rPr>
          <w:vertAlign w:val="superscript"/>
        </w:rPr>
        <w:t>3</w:t>
      </w:r>
      <w:r w:rsidRPr="00E83474">
        <w:rPr>
          <w:vertAlign w:val="superscript"/>
        </w:rPr>
        <w:t>,</w:t>
      </w:r>
      <w:r w:rsidR="00804AAE">
        <w:rPr>
          <w:vertAlign w:val="superscript"/>
        </w:rPr>
        <w:t>4</w:t>
      </w:r>
      <w:r w:rsidR="00673105">
        <w:rPr>
          <w:vertAlign w:val="superscript"/>
        </w:rPr>
        <w:t>,6</w:t>
      </w:r>
    </w:p>
    <w:p w14:paraId="00AB54A4" w14:textId="01C09FD5" w:rsidR="00B62807" w:rsidRPr="00E83474" w:rsidRDefault="00B62807" w:rsidP="00B62807">
      <w:pPr>
        <w:pStyle w:val="BodyText"/>
      </w:pPr>
      <w:r w:rsidRPr="00E83474">
        <w:t xml:space="preserve">Authorization of </w:t>
      </w:r>
      <w:r w:rsidR="0065258E">
        <w:t>12</w:t>
      </w:r>
      <w:r w:rsidRPr="00E83474">
        <w:t xml:space="preserve"> months may be granted for treatment of aluminum toxicity in members undergoing dialysis.</w:t>
      </w:r>
    </w:p>
    <w:p w14:paraId="47DAD641" w14:textId="77D67CCD" w:rsidR="00B62807" w:rsidRPr="00E83474" w:rsidRDefault="00B62807" w:rsidP="00B62807">
      <w:pPr>
        <w:pStyle w:val="Heading3"/>
      </w:pPr>
      <w:r w:rsidRPr="00E83474">
        <w:t>Hereditary Hemochromatosis</w:t>
      </w:r>
      <w:r w:rsidR="00804AAE">
        <w:rPr>
          <w:vertAlign w:val="superscript"/>
        </w:rPr>
        <w:t>3</w:t>
      </w:r>
      <w:r w:rsidRPr="00E83474">
        <w:rPr>
          <w:vertAlign w:val="superscript"/>
        </w:rPr>
        <w:t>,</w:t>
      </w:r>
      <w:r w:rsidR="00804AAE">
        <w:rPr>
          <w:vertAlign w:val="superscript"/>
        </w:rPr>
        <w:t>7</w:t>
      </w:r>
      <w:r w:rsidRPr="00E83474">
        <w:rPr>
          <w:vertAlign w:val="superscript"/>
        </w:rPr>
        <w:t>,</w:t>
      </w:r>
      <w:r w:rsidR="00804AAE">
        <w:rPr>
          <w:vertAlign w:val="superscript"/>
        </w:rPr>
        <w:t>8</w:t>
      </w:r>
    </w:p>
    <w:p w14:paraId="554B6E8F" w14:textId="7A7EC964" w:rsidR="00B836B0" w:rsidRPr="00E83474" w:rsidRDefault="00B62807" w:rsidP="00B62807">
      <w:pPr>
        <w:pStyle w:val="BodyText"/>
      </w:pPr>
      <w:r w:rsidRPr="00E83474">
        <w:t xml:space="preserve">Authorization of </w:t>
      </w:r>
      <w:r w:rsidR="0065258E">
        <w:t>12</w:t>
      </w:r>
      <w:r w:rsidRPr="00E83474">
        <w:t xml:space="preserve"> months may be granted for treatment of hereditary hemochromatosis when phlebotomy is not an option (e.g., poor venous access, poor candidate due to underlying medical disorders) or the member had an unsatisfactory response to phlebotomy.</w:t>
      </w:r>
    </w:p>
    <w:p w14:paraId="3A643EC3" w14:textId="2C447FFA" w:rsidR="00A501AC" w:rsidRPr="00E83474" w:rsidRDefault="00A501AC" w:rsidP="00A501AC">
      <w:pPr>
        <w:pStyle w:val="Heading2"/>
      </w:pPr>
      <w:r w:rsidRPr="00E83474">
        <w:t>Continuation of Therapy</w:t>
      </w:r>
    </w:p>
    <w:p w14:paraId="1824F8E6" w14:textId="5BFD80A2" w:rsidR="00B62807" w:rsidRPr="00E83474" w:rsidRDefault="00B62807" w:rsidP="00B62807">
      <w:pPr>
        <w:pStyle w:val="Heading3"/>
      </w:pPr>
      <w:r w:rsidRPr="00E83474">
        <w:t>Transfusional Iron Overload in Chronic Anemia</w:t>
      </w:r>
      <w:r w:rsidRPr="00E83474">
        <w:rPr>
          <w:vertAlign w:val="superscript"/>
        </w:rPr>
        <w:t>1-</w:t>
      </w:r>
      <w:r w:rsidR="00804AAE">
        <w:rPr>
          <w:vertAlign w:val="superscript"/>
        </w:rPr>
        <w:t>5</w:t>
      </w:r>
    </w:p>
    <w:p w14:paraId="47B66D47" w14:textId="273CAB7B" w:rsidR="00B62807" w:rsidRPr="00E83474" w:rsidRDefault="00B62807" w:rsidP="00B62807">
      <w:pPr>
        <w:pStyle w:val="BodyText"/>
      </w:pPr>
      <w:r w:rsidRPr="00E83474">
        <w:t xml:space="preserve">Authorization of </w:t>
      </w:r>
      <w:r w:rsidR="00D91B32">
        <w:t>12</w:t>
      </w:r>
      <w:r w:rsidRPr="00E83474">
        <w:t xml:space="preserve"> months may be granted for continued treatment in members requesting reauthorization for transfusional iron overload with chronic anemia when </w:t>
      </w:r>
      <w:r w:rsidR="005249A1">
        <w:t xml:space="preserve">the </w:t>
      </w:r>
      <w:r w:rsidRPr="00E83474">
        <w:t>member is experiencing benefit from therapy as evidenced by a decrease in serum ferritin levels as compared to pretreatment baseline.</w:t>
      </w:r>
    </w:p>
    <w:p w14:paraId="3C8B2B03" w14:textId="5D8B6559" w:rsidR="00B62807" w:rsidRPr="00E83474" w:rsidRDefault="00B62807" w:rsidP="00B62807">
      <w:pPr>
        <w:pStyle w:val="Heading3"/>
      </w:pPr>
      <w:r w:rsidRPr="00E83474">
        <w:t>Aluminum Toxicity in Members Undergoing Dialysis</w:t>
      </w:r>
      <w:r w:rsidR="00804AAE">
        <w:rPr>
          <w:vertAlign w:val="superscript"/>
        </w:rPr>
        <w:t>3</w:t>
      </w:r>
    </w:p>
    <w:p w14:paraId="41FDF359" w14:textId="10B6C442" w:rsidR="00B62807" w:rsidRDefault="00B62807" w:rsidP="00B62807">
      <w:pPr>
        <w:pStyle w:val="BodyText"/>
      </w:pPr>
      <w:r w:rsidRPr="00E83474">
        <w:t xml:space="preserve">Authorization of </w:t>
      </w:r>
      <w:r w:rsidR="00D91B32">
        <w:t>12</w:t>
      </w:r>
      <w:r w:rsidRPr="00E83474">
        <w:t xml:space="preserve"> months may be granted for continued treatment in members requesting reauthorization for aluminum toxicity while undergoing dialysis when </w:t>
      </w:r>
      <w:r w:rsidR="005249A1">
        <w:t xml:space="preserve">the </w:t>
      </w:r>
      <w:r w:rsidRPr="00E83474">
        <w:t xml:space="preserve">member is experiencing benefit from therapy as evidenced by </w:t>
      </w:r>
      <w:r w:rsidR="00F10AA3">
        <w:t>either</w:t>
      </w:r>
      <w:r w:rsidRPr="00E83474">
        <w:t xml:space="preserve"> of the following:</w:t>
      </w:r>
    </w:p>
    <w:p w14:paraId="466D6E54" w14:textId="5904FD2C" w:rsidR="00B62807" w:rsidRPr="00E83474" w:rsidRDefault="00B62807" w:rsidP="009F7312">
      <w:pPr>
        <w:pStyle w:val="ListParagraph"/>
        <w:numPr>
          <w:ilvl w:val="0"/>
          <w:numId w:val="29"/>
        </w:numPr>
      </w:pPr>
      <w:r w:rsidRPr="00E83474">
        <w:t>Decreased serum aluminum concentrations</w:t>
      </w:r>
    </w:p>
    <w:p w14:paraId="6421CB52" w14:textId="24CB4B20" w:rsidR="00B62807" w:rsidRPr="00E83474" w:rsidRDefault="00B62807" w:rsidP="009F7312">
      <w:pPr>
        <w:pStyle w:val="ListParagraph"/>
        <w:numPr>
          <w:ilvl w:val="0"/>
          <w:numId w:val="29"/>
        </w:numPr>
      </w:pPr>
      <w:r w:rsidRPr="00E83474">
        <w:t>Symptomatic improvement (e.g., neurological symptom improvement, decreased bone pain)</w:t>
      </w:r>
    </w:p>
    <w:p w14:paraId="7F81F79B" w14:textId="19525766" w:rsidR="00B62807" w:rsidRPr="00E83474" w:rsidRDefault="00B62807" w:rsidP="00B62807">
      <w:pPr>
        <w:pStyle w:val="Heading3"/>
      </w:pPr>
      <w:r w:rsidRPr="00E83474">
        <w:t>Hereditary Hemochromatosis</w:t>
      </w:r>
      <w:r w:rsidR="00804AAE">
        <w:rPr>
          <w:vertAlign w:val="superscript"/>
        </w:rPr>
        <w:t>7</w:t>
      </w:r>
      <w:r w:rsidRPr="00E83474">
        <w:rPr>
          <w:vertAlign w:val="superscript"/>
        </w:rPr>
        <w:t>,</w:t>
      </w:r>
      <w:r w:rsidR="00804AAE">
        <w:rPr>
          <w:vertAlign w:val="superscript"/>
        </w:rPr>
        <w:t>8</w:t>
      </w:r>
    </w:p>
    <w:p w14:paraId="32C8905D" w14:textId="06EF9FC7" w:rsidR="00A501AC" w:rsidRPr="00E83474" w:rsidRDefault="00B62807" w:rsidP="00B62807">
      <w:pPr>
        <w:pStyle w:val="BodyText"/>
      </w:pPr>
      <w:r w:rsidRPr="00E83474">
        <w:t xml:space="preserve">Authorization of </w:t>
      </w:r>
      <w:r w:rsidR="00D91B32">
        <w:t>12</w:t>
      </w:r>
      <w:r w:rsidRPr="00E83474">
        <w:t xml:space="preserve"> months may be granted for continued treatment in members requesting reauthorization for hereditary hemochromatosis when </w:t>
      </w:r>
      <w:r w:rsidR="005249A1">
        <w:t xml:space="preserve">the </w:t>
      </w:r>
      <w:r w:rsidRPr="00E83474">
        <w:t>member is experiencing benefit from therapy as evidenced by a decrease in serum ferritin levels as compared to pretreatment baseline.</w:t>
      </w:r>
    </w:p>
    <w:p w14:paraId="10DA4309" w14:textId="62511606" w:rsidR="00FF66BF" w:rsidRPr="00E83474" w:rsidRDefault="00FF66BF" w:rsidP="00FF66BF">
      <w:pPr>
        <w:pStyle w:val="Heading2"/>
      </w:pPr>
      <w:r w:rsidRPr="00E83474">
        <w:t>References</w:t>
      </w:r>
    </w:p>
    <w:p w14:paraId="3B376C96" w14:textId="5AEE59E2" w:rsidR="00B62807" w:rsidRPr="009F7312" w:rsidRDefault="00B62807" w:rsidP="009F7312">
      <w:pPr>
        <w:pStyle w:val="ReferenceOrdered"/>
      </w:pPr>
      <w:r w:rsidRPr="009F7312">
        <w:t>Desferal [package insert]. East Hanover, NJ: Novartis Pharmaceuticals Corporation; September 2022.</w:t>
      </w:r>
    </w:p>
    <w:p w14:paraId="584D8A56" w14:textId="31D13FDA" w:rsidR="00B62807" w:rsidRPr="009F7312" w:rsidRDefault="00B62807" w:rsidP="009F7312">
      <w:pPr>
        <w:pStyle w:val="ReferenceOrdered"/>
      </w:pPr>
      <w:r w:rsidRPr="009F7312">
        <w:t xml:space="preserve">Deferoxamine mesylate [package insert]. Lake Forest, IL: Hospira, Inc.; </w:t>
      </w:r>
      <w:r w:rsidR="002E0A60">
        <w:t>November</w:t>
      </w:r>
      <w:r w:rsidRPr="009F7312">
        <w:t xml:space="preserve"> 2023.</w:t>
      </w:r>
    </w:p>
    <w:p w14:paraId="50B3895C" w14:textId="61DF411F" w:rsidR="00B62807" w:rsidRPr="009F7312" w:rsidRDefault="00B62807" w:rsidP="009F7312">
      <w:pPr>
        <w:pStyle w:val="ReferenceOrdered"/>
      </w:pPr>
      <w:r w:rsidRPr="009F7312">
        <w:t>AHFS D</w:t>
      </w:r>
      <w:r w:rsidR="006205CA">
        <w:t>rug Information</w:t>
      </w:r>
      <w:r w:rsidRPr="009F7312">
        <w:t xml:space="preserve">[database online]. </w:t>
      </w:r>
      <w:r w:rsidR="006205CA">
        <w:t>American Society of Health-System Pharmacists, Inc. Bethesda, MD.</w:t>
      </w:r>
      <w:r w:rsidRPr="009F7312">
        <w:t xml:space="preserve"> Available at: http://online.lexi.com/lco/action/index/dataset/complete_ashp [available with subscription]. Accessed October </w:t>
      </w:r>
      <w:r w:rsidR="003E744C">
        <w:t>4</w:t>
      </w:r>
      <w:r w:rsidRPr="009F7312">
        <w:t>, 202</w:t>
      </w:r>
      <w:r w:rsidR="003E744C">
        <w:t>4</w:t>
      </w:r>
      <w:r w:rsidRPr="009F7312">
        <w:t>.</w:t>
      </w:r>
    </w:p>
    <w:p w14:paraId="12A9650B" w14:textId="36B60EC0" w:rsidR="00B62807" w:rsidRPr="009F7312" w:rsidRDefault="00B62807" w:rsidP="009F7312">
      <w:pPr>
        <w:pStyle w:val="ReferenceOrdered"/>
      </w:pPr>
      <w:r w:rsidRPr="009F7312">
        <w:t xml:space="preserve">Clinical Pharmacology [Internet]. Elsevier. Tampa (FL). Available from: http://www.clinicalpharmacology.com. October </w:t>
      </w:r>
      <w:r w:rsidR="007669DE">
        <w:t>4</w:t>
      </w:r>
      <w:r w:rsidRPr="009F7312">
        <w:t>, 202</w:t>
      </w:r>
      <w:r w:rsidR="007669DE">
        <w:t>4</w:t>
      </w:r>
      <w:r w:rsidRPr="009F7312">
        <w:t>.</w:t>
      </w:r>
    </w:p>
    <w:p w14:paraId="07960994" w14:textId="00C48466" w:rsidR="00B62807" w:rsidRPr="009F7312" w:rsidRDefault="00B477C5" w:rsidP="009F7312">
      <w:pPr>
        <w:pStyle w:val="ReferenceOrdered"/>
      </w:pPr>
      <w:bookmarkStart w:id="1" w:name="_Hlk189130153"/>
      <w:r>
        <w:t>Taher AT</w:t>
      </w:r>
      <w:r w:rsidR="00B62807" w:rsidRPr="009F7312">
        <w:t xml:space="preserve">, </w:t>
      </w:r>
      <w:r>
        <w:t>Farmakis D</w:t>
      </w:r>
      <w:r w:rsidR="00B62807" w:rsidRPr="009F7312">
        <w:t>, Porter J</w:t>
      </w:r>
      <w:r>
        <w:t>B</w:t>
      </w:r>
      <w:r w:rsidR="00B62807" w:rsidRPr="009F7312">
        <w:t xml:space="preserve">, et al. Guidelines for the management of transfusion dependent </w:t>
      </w:r>
      <w:proofErr w:type="spellStart"/>
      <w:r w:rsidR="00B62807" w:rsidRPr="009F7312">
        <w:t>thalassaemia</w:t>
      </w:r>
      <w:proofErr w:type="spellEnd"/>
      <w:r w:rsidR="00B62807" w:rsidRPr="009F7312">
        <w:t xml:space="preserve"> (TDT) </w:t>
      </w:r>
      <w:r>
        <w:t>5</w:t>
      </w:r>
      <w:r w:rsidR="00B62807" w:rsidRPr="009F7312">
        <w:t xml:space="preserve">th Edition [Internet]. </w:t>
      </w:r>
      <w:proofErr w:type="spellStart"/>
      <w:r w:rsidR="00B62807" w:rsidRPr="009F7312">
        <w:t>Thalassaemia</w:t>
      </w:r>
      <w:proofErr w:type="spellEnd"/>
      <w:r w:rsidR="00B62807" w:rsidRPr="009F7312">
        <w:t xml:space="preserve"> International Federation</w:t>
      </w:r>
      <w:r>
        <w:t>.</w:t>
      </w:r>
      <w:r w:rsidR="00B62807" w:rsidRPr="009F7312">
        <w:t xml:space="preserve"> 202</w:t>
      </w:r>
      <w:r>
        <w:t>5</w:t>
      </w:r>
      <w:r w:rsidR="00B62807" w:rsidRPr="009F7312">
        <w:t>.</w:t>
      </w:r>
      <w:r>
        <w:t xml:space="preserve"> Available at: </w:t>
      </w:r>
      <w:r w:rsidR="00247F71" w:rsidRPr="00C101C9">
        <w:t>https://thalassaemia.org.cy/publications/tif-publications/guidelines-for-the-management-of-transfusion-dependent-%ce%b2-thalassaemia-5th-edition-2025</w:t>
      </w:r>
      <w:r>
        <w:t>. Accessed January 30, 2025.</w:t>
      </w:r>
      <w:r w:rsidRPr="00B477C5" w:rsidDel="00B477C5">
        <w:t xml:space="preserve"> </w:t>
      </w:r>
    </w:p>
    <w:p w14:paraId="21FA172F" w14:textId="7AADF9A7" w:rsidR="00B62807" w:rsidRPr="009F7312" w:rsidRDefault="00BF7DAC" w:rsidP="009F7312">
      <w:pPr>
        <w:pStyle w:val="ReferenceOrdered"/>
      </w:pPr>
      <w:bookmarkStart w:id="2" w:name="_Hlk179210543"/>
      <w:bookmarkEnd w:id="1"/>
      <w:r>
        <w:rPr>
          <w:lang w:val="sv-SE"/>
        </w:rPr>
        <w:t>Shah FT, Porter JB, Sadasivam N, et al</w:t>
      </w:r>
      <w:r w:rsidR="00B62807" w:rsidRPr="008C57CD">
        <w:rPr>
          <w:lang w:val="sv-SE"/>
        </w:rPr>
        <w:t xml:space="preserve">. </w:t>
      </w:r>
      <w:r>
        <w:t>Guidelines for the monitoring and management of</w:t>
      </w:r>
      <w:r w:rsidR="00520BF2">
        <w:t xml:space="preserve"> </w:t>
      </w:r>
      <w:r>
        <w:t>iron overload in patients with haemoglobinopathies and rare anemias</w:t>
      </w:r>
      <w:r w:rsidR="00B62807" w:rsidRPr="009F7312">
        <w:t>. B</w:t>
      </w:r>
      <w:r>
        <w:t xml:space="preserve">r J </w:t>
      </w:r>
      <w:proofErr w:type="spellStart"/>
      <w:r>
        <w:t>Haematol</w:t>
      </w:r>
      <w:proofErr w:type="spellEnd"/>
      <w:r>
        <w:t>.</w:t>
      </w:r>
      <w:r w:rsidR="00B62807" w:rsidRPr="009F7312">
        <w:t xml:space="preserve"> 20</w:t>
      </w:r>
      <w:r>
        <w:t>2</w:t>
      </w:r>
      <w:r w:rsidR="00B62807" w:rsidRPr="009F7312">
        <w:t>2;</w:t>
      </w:r>
      <w:r>
        <w:t>196(2):336-350</w:t>
      </w:r>
      <w:r w:rsidR="00B62807" w:rsidRPr="009F7312">
        <w:t>.</w:t>
      </w:r>
    </w:p>
    <w:bookmarkEnd w:id="2"/>
    <w:p w14:paraId="12582431" w14:textId="361989A2" w:rsidR="00B62807" w:rsidRPr="009F7312" w:rsidRDefault="00B62807" w:rsidP="009F7312">
      <w:pPr>
        <w:pStyle w:val="ReferenceOrdered"/>
      </w:pPr>
      <w:r w:rsidRPr="008C57CD">
        <w:rPr>
          <w:lang w:val="fr-FR"/>
        </w:rPr>
        <w:t xml:space="preserve">Adams P, Barton J, et al. </w:t>
      </w:r>
      <w:r w:rsidRPr="009F7312">
        <w:t>How I Treat Hemochromatosis. Blood</w:t>
      </w:r>
      <w:r w:rsidR="00B477C5">
        <w:t>.</w:t>
      </w:r>
      <w:r w:rsidRPr="009F7312">
        <w:t xml:space="preserve"> 2010;116</w:t>
      </w:r>
      <w:r w:rsidR="00075F13">
        <w:t>(3</w:t>
      </w:r>
      <w:r w:rsidRPr="009F7312">
        <w:t>): 317-325.</w:t>
      </w:r>
    </w:p>
    <w:p w14:paraId="26E25A0F" w14:textId="5A713587" w:rsidR="00FF66BF" w:rsidRDefault="00B62807" w:rsidP="009F7312">
      <w:pPr>
        <w:pStyle w:val="ReferenceOrdered"/>
      </w:pPr>
      <w:proofErr w:type="spellStart"/>
      <w:r w:rsidRPr="009F7312">
        <w:t>Kowdley</w:t>
      </w:r>
      <w:proofErr w:type="spellEnd"/>
      <w:r w:rsidRPr="009F7312">
        <w:t xml:space="preserve"> KV, Brown KE, et al. ACG Clinical Guideline: Hereditary Hemochromatosis. Am J Gastroenterol. 2019;114(8):1202-1218.</w:t>
      </w:r>
    </w:p>
    <w:sectPr w:rsidR="00FF66BF" w:rsidSect="00460DA0">
      <w:headerReference w:type="first" r:id="rId15"/>
      <w:footerReference w:type="first" r:id="rId16"/>
      <w:type w:val="continuous"/>
      <w:pgSz w:w="12240" w:h="15840" w:code="1"/>
      <w:pgMar w:top="900" w:right="720" w:bottom="709" w:left="720" w:header="720" w:footer="34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8CF4F" w14:textId="77777777" w:rsidR="00011F87" w:rsidRDefault="00011F87">
      <w:r>
        <w:separator/>
      </w:r>
    </w:p>
  </w:endnote>
  <w:endnote w:type="continuationSeparator" w:id="0">
    <w:p w14:paraId="72FEEA46" w14:textId="77777777" w:rsidR="00011F87" w:rsidRDefault="00011F87">
      <w:r>
        <w:continuationSeparator/>
      </w:r>
    </w:p>
  </w:endnote>
  <w:endnote w:type="continuationNotice" w:id="1">
    <w:p w14:paraId="00A7CCAC" w14:textId="77777777" w:rsidR="00011F87" w:rsidRDefault="00011F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92AA9EB"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11B86" w:rsidRPr="00811B86">
      <w:rPr>
        <w:rFonts w:cs="Arial"/>
        <w:noProof/>
        <w:sz w:val="16"/>
        <w:szCs w:val="16"/>
      </w:rPr>
      <w:t>deferoxamine-Desferal</w:t>
    </w:r>
    <w:r w:rsidR="00811B86">
      <w:rPr>
        <w:rFonts w:cs="Arial"/>
        <w:noProof/>
        <w:snapToGrid w:val="0"/>
        <w:color w:val="000000"/>
        <w:sz w:val="16"/>
        <w:szCs w:val="16"/>
      </w:rPr>
      <w:t xml:space="preserve"> SGM 1620-A</w:t>
    </w:r>
    <w:r w:rsidR="00811B86" w:rsidRPr="00811B86">
      <w:rPr>
        <w:rFonts w:cs="Arial"/>
        <w:noProof/>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3617C3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71417E0" w:rsidR="00F75C81" w:rsidRPr="009A4217" w:rsidRDefault="00C36B72" w:rsidP="009A4217">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0E6641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8C57CD">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811B86" w:rsidRPr="00811B86">
      <w:rPr>
        <w:rFonts w:cs="Arial"/>
        <w:noProof/>
        <w:sz w:val="16"/>
        <w:szCs w:val="16"/>
        <w:lang w:val="pt-PT"/>
      </w:rPr>
      <w:t>deferoxamine-Desferal</w:t>
    </w:r>
    <w:r w:rsidR="00811B86">
      <w:rPr>
        <w:rFonts w:cs="Arial"/>
        <w:noProof/>
        <w:snapToGrid w:val="0"/>
        <w:color w:val="000000"/>
        <w:sz w:val="16"/>
        <w:szCs w:val="16"/>
        <w:lang w:val="pt-PT"/>
      </w:rPr>
      <w:t xml:space="preserve"> SGM 1620-A </w:t>
    </w:r>
    <w:r w:rsidR="00811B86" w:rsidRPr="00811B86">
      <w:rPr>
        <w:rFonts w:cs="Arial"/>
        <w:noProof/>
        <w:sz w:val="16"/>
        <w:szCs w:val="16"/>
        <w:lang w:val="pt-PT"/>
      </w:rPr>
      <w:t>P2024a.docx</w:t>
    </w:r>
    <w:r w:rsidRPr="00EC47B6">
      <w:rPr>
        <w:rFonts w:cs="Arial"/>
        <w:noProof/>
        <w:sz w:val="16"/>
        <w:szCs w:val="16"/>
      </w:rPr>
      <w:fldChar w:fldCharType="end"/>
    </w:r>
    <w:r w:rsidRPr="008C57CD">
      <w:rPr>
        <w:rFonts w:cs="Arial"/>
        <w:snapToGrid w:val="0"/>
        <w:color w:val="000000"/>
        <w:sz w:val="16"/>
        <w:lang w:val="pt-PT"/>
      </w:rPr>
      <w:tab/>
      <w:t>© 202</w:t>
    </w:r>
    <w:r w:rsidR="00D74279" w:rsidRPr="008C57CD">
      <w:rPr>
        <w:rFonts w:cs="Arial"/>
        <w:snapToGrid w:val="0"/>
        <w:color w:val="000000"/>
        <w:sz w:val="16"/>
        <w:lang w:val="pt-PT"/>
      </w:rPr>
      <w:t>4</w:t>
    </w:r>
    <w:r w:rsidRPr="008C57CD">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75A20DB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986A40C" w:rsidR="00ED04EC" w:rsidRPr="00C538E1" w:rsidRDefault="00F50D98" w:rsidP="00C538E1">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502D" w14:textId="2853435D" w:rsidR="007C1CC5" w:rsidRPr="00F50D98" w:rsidRDefault="007C1CC5"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C6863" w14:textId="77777777" w:rsidR="00011F87" w:rsidRDefault="00011F87">
      <w:r>
        <w:separator/>
      </w:r>
    </w:p>
  </w:footnote>
  <w:footnote w:type="continuationSeparator" w:id="0">
    <w:p w14:paraId="4A428B1F" w14:textId="77777777" w:rsidR="00011F87" w:rsidRDefault="00011F87">
      <w:r>
        <w:continuationSeparator/>
      </w:r>
    </w:p>
  </w:footnote>
  <w:footnote w:type="continuationNotice" w:id="1">
    <w:p w14:paraId="2B38733C" w14:textId="77777777" w:rsidR="00011F87" w:rsidRDefault="00011F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E83474" w:rsidRDefault="00ED04EC" w:rsidP="00ED04EC">
          <w:pPr>
            <w:pStyle w:val="Header"/>
            <w:rPr>
              <w:rFonts w:cs="Arial"/>
              <w:sz w:val="16"/>
              <w:szCs w:val="16"/>
            </w:rPr>
          </w:pPr>
          <w:r w:rsidRPr="00E83474">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A15EBA3" w:rsidR="00ED04EC" w:rsidRPr="00E83474" w:rsidRDefault="007C1CC5" w:rsidP="00ED04EC">
          <w:pPr>
            <w:pStyle w:val="Header"/>
            <w:rPr>
              <w:rFonts w:cs="Arial"/>
              <w:sz w:val="16"/>
              <w:szCs w:val="16"/>
            </w:rPr>
          </w:pPr>
          <w:r w:rsidRPr="00E83474">
            <w:rPr>
              <w:rFonts w:cs="Arial"/>
              <w:sz w:val="16"/>
              <w:szCs w:val="16"/>
            </w:rPr>
            <w:t>1620-A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C1CC5" w:rsidRPr="00ED04EC" w14:paraId="394EDB37" w14:textId="77777777">
      <w:trPr>
        <w:trHeight w:val="144"/>
        <w:jc w:val="right"/>
      </w:trPr>
      <w:tc>
        <w:tcPr>
          <w:tcW w:w="1854" w:type="dxa"/>
          <w:hideMark/>
        </w:tcPr>
        <w:p w14:paraId="76FF4033" w14:textId="77777777" w:rsidR="007C1CC5" w:rsidRPr="00AA1E6A" w:rsidRDefault="007C1CC5" w:rsidP="007C1CC5">
          <w:pPr>
            <w:pStyle w:val="Header"/>
            <w:rPr>
              <w:rFonts w:ascii="Arial" w:hAnsi="Arial" w:cs="Arial"/>
              <w:sz w:val="16"/>
              <w:szCs w:val="16"/>
            </w:rPr>
          </w:pPr>
          <w:r w:rsidRPr="00AA1E6A">
            <w:rPr>
              <w:rFonts w:ascii="Arial" w:hAnsi="Arial" w:cs="Arial"/>
              <w:sz w:val="16"/>
              <w:szCs w:val="16"/>
            </w:rPr>
            <w:t>Reference number(s)</w:t>
          </w:r>
        </w:p>
      </w:tc>
    </w:tr>
    <w:tr w:rsidR="007C1CC5" w:rsidRPr="00ED04EC" w14:paraId="2D3AAA96" w14:textId="77777777">
      <w:trPr>
        <w:trHeight w:val="378"/>
        <w:jc w:val="right"/>
      </w:trPr>
      <w:tc>
        <w:tcPr>
          <w:tcW w:w="1854" w:type="dxa"/>
          <w:hideMark/>
        </w:tcPr>
        <w:p w14:paraId="213C9C08" w14:textId="77777777" w:rsidR="007C1CC5" w:rsidRPr="004C7F1D" w:rsidRDefault="007C1CC5" w:rsidP="007C1CC5">
          <w:pPr>
            <w:pStyle w:val="Header"/>
            <w:rPr>
              <w:rFonts w:ascii="Arial" w:hAnsi="Arial" w:cs="Arial"/>
              <w:sz w:val="16"/>
              <w:szCs w:val="16"/>
            </w:rPr>
          </w:pPr>
          <w:r w:rsidRPr="007C1CC5">
            <w:rPr>
              <w:rFonts w:ascii="Arial" w:hAnsi="Arial" w:cs="Arial"/>
              <w:sz w:val="16"/>
              <w:szCs w:val="16"/>
            </w:rPr>
            <w:t>1620-A</w:t>
          </w:r>
        </w:p>
      </w:tc>
    </w:tr>
  </w:tbl>
  <w:p w14:paraId="3EAF0180" w14:textId="77777777" w:rsidR="007C1CC5" w:rsidRPr="00AA1E6A" w:rsidRDefault="007C1CC5" w:rsidP="007C1CC5">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335100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577E3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7"/>
  </w:num>
  <w:num w:numId="18" w16cid:durableId="299724409">
    <w:abstractNumId w:val="21"/>
  </w:num>
  <w:num w:numId="19" w16cid:durableId="214585573">
    <w:abstractNumId w:val="14"/>
  </w:num>
  <w:num w:numId="20" w16cid:durableId="1289816170">
    <w:abstractNumId w:val="15"/>
  </w:num>
  <w:num w:numId="21" w16cid:durableId="1066490929">
    <w:abstractNumId w:val="28"/>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28989893">
    <w:abstractNumId w:val="13"/>
  </w:num>
  <w:num w:numId="29" w16cid:durableId="1174490907">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1F87"/>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28C0"/>
    <w:rsid w:val="00074509"/>
    <w:rsid w:val="000749E4"/>
    <w:rsid w:val="00074BFE"/>
    <w:rsid w:val="000755C3"/>
    <w:rsid w:val="00075C18"/>
    <w:rsid w:val="00075F13"/>
    <w:rsid w:val="000760A2"/>
    <w:rsid w:val="000760F2"/>
    <w:rsid w:val="000767AE"/>
    <w:rsid w:val="00076A8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887"/>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A44"/>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238"/>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19AF"/>
    <w:rsid w:val="00132118"/>
    <w:rsid w:val="0013234F"/>
    <w:rsid w:val="001344B1"/>
    <w:rsid w:val="00134671"/>
    <w:rsid w:val="0013477B"/>
    <w:rsid w:val="0013503B"/>
    <w:rsid w:val="001356EF"/>
    <w:rsid w:val="00136BE6"/>
    <w:rsid w:val="001370F9"/>
    <w:rsid w:val="00137657"/>
    <w:rsid w:val="00137956"/>
    <w:rsid w:val="00137C7B"/>
    <w:rsid w:val="00137E80"/>
    <w:rsid w:val="00140B8C"/>
    <w:rsid w:val="00140ED6"/>
    <w:rsid w:val="001439BB"/>
    <w:rsid w:val="0014405C"/>
    <w:rsid w:val="0014413C"/>
    <w:rsid w:val="00144795"/>
    <w:rsid w:val="001448D4"/>
    <w:rsid w:val="00144B23"/>
    <w:rsid w:val="00144BEB"/>
    <w:rsid w:val="00145A96"/>
    <w:rsid w:val="00146C1A"/>
    <w:rsid w:val="00150AFC"/>
    <w:rsid w:val="00151DA8"/>
    <w:rsid w:val="00152135"/>
    <w:rsid w:val="00152677"/>
    <w:rsid w:val="00152D1A"/>
    <w:rsid w:val="00153164"/>
    <w:rsid w:val="00154752"/>
    <w:rsid w:val="00154B0F"/>
    <w:rsid w:val="00154E30"/>
    <w:rsid w:val="00155726"/>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545"/>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67A"/>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52C6"/>
    <w:rsid w:val="00247F71"/>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0AE"/>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6F28"/>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B7C"/>
    <w:rsid w:val="00296EC3"/>
    <w:rsid w:val="00296F35"/>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386"/>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65"/>
    <w:rsid w:val="002E06B0"/>
    <w:rsid w:val="002E0A6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44FB"/>
    <w:rsid w:val="00345D48"/>
    <w:rsid w:val="003468AA"/>
    <w:rsid w:val="00346D5D"/>
    <w:rsid w:val="00346FA2"/>
    <w:rsid w:val="00347C02"/>
    <w:rsid w:val="00350DF1"/>
    <w:rsid w:val="00351E5C"/>
    <w:rsid w:val="003524E5"/>
    <w:rsid w:val="00352959"/>
    <w:rsid w:val="00352B5E"/>
    <w:rsid w:val="00352BC7"/>
    <w:rsid w:val="003543BE"/>
    <w:rsid w:val="00354AE7"/>
    <w:rsid w:val="00354CFD"/>
    <w:rsid w:val="00355509"/>
    <w:rsid w:val="00355DCF"/>
    <w:rsid w:val="003569BC"/>
    <w:rsid w:val="00360151"/>
    <w:rsid w:val="003608FE"/>
    <w:rsid w:val="00360F75"/>
    <w:rsid w:val="00361AEE"/>
    <w:rsid w:val="00362CE9"/>
    <w:rsid w:val="00363EF7"/>
    <w:rsid w:val="00363F55"/>
    <w:rsid w:val="0036404E"/>
    <w:rsid w:val="00364436"/>
    <w:rsid w:val="0036469C"/>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197"/>
    <w:rsid w:val="003904B1"/>
    <w:rsid w:val="00390BD4"/>
    <w:rsid w:val="00391311"/>
    <w:rsid w:val="003915B9"/>
    <w:rsid w:val="0039194A"/>
    <w:rsid w:val="00391A39"/>
    <w:rsid w:val="00391F5A"/>
    <w:rsid w:val="003920A5"/>
    <w:rsid w:val="003936BB"/>
    <w:rsid w:val="00393961"/>
    <w:rsid w:val="00394467"/>
    <w:rsid w:val="00395521"/>
    <w:rsid w:val="00395A71"/>
    <w:rsid w:val="00396A5B"/>
    <w:rsid w:val="00396D00"/>
    <w:rsid w:val="00397160"/>
    <w:rsid w:val="003A0693"/>
    <w:rsid w:val="003A2056"/>
    <w:rsid w:val="003A2E60"/>
    <w:rsid w:val="003A3116"/>
    <w:rsid w:val="003A4B3A"/>
    <w:rsid w:val="003A5707"/>
    <w:rsid w:val="003A6459"/>
    <w:rsid w:val="003A7860"/>
    <w:rsid w:val="003A796A"/>
    <w:rsid w:val="003B009E"/>
    <w:rsid w:val="003B1472"/>
    <w:rsid w:val="003B1A5F"/>
    <w:rsid w:val="003B1D0F"/>
    <w:rsid w:val="003B282B"/>
    <w:rsid w:val="003B2B19"/>
    <w:rsid w:val="003B4BC1"/>
    <w:rsid w:val="003B4FB6"/>
    <w:rsid w:val="003B56DA"/>
    <w:rsid w:val="003B5A8C"/>
    <w:rsid w:val="003B5C47"/>
    <w:rsid w:val="003B6158"/>
    <w:rsid w:val="003B7DE9"/>
    <w:rsid w:val="003B7E2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6FCB"/>
    <w:rsid w:val="003E0F67"/>
    <w:rsid w:val="003E1C0F"/>
    <w:rsid w:val="003E260D"/>
    <w:rsid w:val="003E28D8"/>
    <w:rsid w:val="003E3201"/>
    <w:rsid w:val="003E3F3B"/>
    <w:rsid w:val="003E4C87"/>
    <w:rsid w:val="003E54DE"/>
    <w:rsid w:val="003E57BF"/>
    <w:rsid w:val="003E5F1A"/>
    <w:rsid w:val="003E6FC2"/>
    <w:rsid w:val="003E7191"/>
    <w:rsid w:val="003E744C"/>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4DD"/>
    <w:rsid w:val="00452B20"/>
    <w:rsid w:val="00453D7B"/>
    <w:rsid w:val="004548ED"/>
    <w:rsid w:val="00454A2A"/>
    <w:rsid w:val="00454A31"/>
    <w:rsid w:val="00455C55"/>
    <w:rsid w:val="00456003"/>
    <w:rsid w:val="00456A47"/>
    <w:rsid w:val="0045790D"/>
    <w:rsid w:val="00457BC4"/>
    <w:rsid w:val="00460001"/>
    <w:rsid w:val="0046058E"/>
    <w:rsid w:val="00460DA0"/>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295"/>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0E8"/>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07A9"/>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5C5"/>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ECD"/>
    <w:rsid w:val="00503FB8"/>
    <w:rsid w:val="00504015"/>
    <w:rsid w:val="00504A89"/>
    <w:rsid w:val="00504AA5"/>
    <w:rsid w:val="00504B53"/>
    <w:rsid w:val="0050562E"/>
    <w:rsid w:val="005057A5"/>
    <w:rsid w:val="00505BEF"/>
    <w:rsid w:val="0050618F"/>
    <w:rsid w:val="005100FC"/>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0BF2"/>
    <w:rsid w:val="005210A8"/>
    <w:rsid w:val="00521489"/>
    <w:rsid w:val="00521874"/>
    <w:rsid w:val="0052196B"/>
    <w:rsid w:val="005233C0"/>
    <w:rsid w:val="005249A1"/>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B26"/>
    <w:rsid w:val="00534ED2"/>
    <w:rsid w:val="005351FB"/>
    <w:rsid w:val="00535B1E"/>
    <w:rsid w:val="00536B4C"/>
    <w:rsid w:val="00537391"/>
    <w:rsid w:val="0053799A"/>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5F1A"/>
    <w:rsid w:val="00556A6F"/>
    <w:rsid w:val="0055710E"/>
    <w:rsid w:val="00557844"/>
    <w:rsid w:val="00560433"/>
    <w:rsid w:val="00560464"/>
    <w:rsid w:val="00560623"/>
    <w:rsid w:val="0056090D"/>
    <w:rsid w:val="005615E4"/>
    <w:rsid w:val="00561EC3"/>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AD5"/>
    <w:rsid w:val="00575FB1"/>
    <w:rsid w:val="00580455"/>
    <w:rsid w:val="005808CA"/>
    <w:rsid w:val="0058095C"/>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7B3"/>
    <w:rsid w:val="005B496D"/>
    <w:rsid w:val="005B52C4"/>
    <w:rsid w:val="005B6157"/>
    <w:rsid w:val="005C026B"/>
    <w:rsid w:val="005C0790"/>
    <w:rsid w:val="005C1002"/>
    <w:rsid w:val="005C194C"/>
    <w:rsid w:val="005C2667"/>
    <w:rsid w:val="005C295A"/>
    <w:rsid w:val="005C2C21"/>
    <w:rsid w:val="005C3B4F"/>
    <w:rsid w:val="005C44D1"/>
    <w:rsid w:val="005C52A6"/>
    <w:rsid w:val="005C6812"/>
    <w:rsid w:val="005C6D2C"/>
    <w:rsid w:val="005C76D2"/>
    <w:rsid w:val="005C778C"/>
    <w:rsid w:val="005C7E7D"/>
    <w:rsid w:val="005D0CD7"/>
    <w:rsid w:val="005D0ED8"/>
    <w:rsid w:val="005D14DC"/>
    <w:rsid w:val="005D154E"/>
    <w:rsid w:val="005D1B57"/>
    <w:rsid w:val="005D1DE6"/>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961"/>
    <w:rsid w:val="005F6DE9"/>
    <w:rsid w:val="005F6EB4"/>
    <w:rsid w:val="005F7345"/>
    <w:rsid w:val="005F7625"/>
    <w:rsid w:val="005F79A8"/>
    <w:rsid w:val="0060082A"/>
    <w:rsid w:val="0060187B"/>
    <w:rsid w:val="006025DE"/>
    <w:rsid w:val="00602E3A"/>
    <w:rsid w:val="00604463"/>
    <w:rsid w:val="00604555"/>
    <w:rsid w:val="00604A0F"/>
    <w:rsid w:val="00604DB2"/>
    <w:rsid w:val="00606DBB"/>
    <w:rsid w:val="006077A7"/>
    <w:rsid w:val="00607959"/>
    <w:rsid w:val="0060798E"/>
    <w:rsid w:val="006105DF"/>
    <w:rsid w:val="00610F93"/>
    <w:rsid w:val="00610FBE"/>
    <w:rsid w:val="00613278"/>
    <w:rsid w:val="006138E0"/>
    <w:rsid w:val="00613BFA"/>
    <w:rsid w:val="00614799"/>
    <w:rsid w:val="00614B26"/>
    <w:rsid w:val="00615109"/>
    <w:rsid w:val="00615D0E"/>
    <w:rsid w:val="0061673E"/>
    <w:rsid w:val="00617744"/>
    <w:rsid w:val="00617950"/>
    <w:rsid w:val="00617BB8"/>
    <w:rsid w:val="006205CA"/>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8E"/>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05"/>
    <w:rsid w:val="00673184"/>
    <w:rsid w:val="00675422"/>
    <w:rsid w:val="006754FB"/>
    <w:rsid w:val="00675C7A"/>
    <w:rsid w:val="00675EC3"/>
    <w:rsid w:val="00676116"/>
    <w:rsid w:val="00676A8F"/>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691"/>
    <w:rsid w:val="00694B18"/>
    <w:rsid w:val="00694B30"/>
    <w:rsid w:val="00694B8A"/>
    <w:rsid w:val="00694C2D"/>
    <w:rsid w:val="00696693"/>
    <w:rsid w:val="00697304"/>
    <w:rsid w:val="006A1444"/>
    <w:rsid w:val="006A1D42"/>
    <w:rsid w:val="006A29D6"/>
    <w:rsid w:val="006A2EC3"/>
    <w:rsid w:val="006A37C9"/>
    <w:rsid w:val="006A3CFD"/>
    <w:rsid w:val="006A3F40"/>
    <w:rsid w:val="006A5A46"/>
    <w:rsid w:val="006A790B"/>
    <w:rsid w:val="006A7B7D"/>
    <w:rsid w:val="006B01F7"/>
    <w:rsid w:val="006B2708"/>
    <w:rsid w:val="006B33B8"/>
    <w:rsid w:val="006B34B3"/>
    <w:rsid w:val="006B371D"/>
    <w:rsid w:val="006B4156"/>
    <w:rsid w:val="006B4A0C"/>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1350"/>
    <w:rsid w:val="006E28B1"/>
    <w:rsid w:val="006E3E7B"/>
    <w:rsid w:val="006E3F80"/>
    <w:rsid w:val="006E423D"/>
    <w:rsid w:val="006E4C56"/>
    <w:rsid w:val="006E53FA"/>
    <w:rsid w:val="006E55CD"/>
    <w:rsid w:val="006E7677"/>
    <w:rsid w:val="006E7E43"/>
    <w:rsid w:val="006E7FCD"/>
    <w:rsid w:val="006F01E6"/>
    <w:rsid w:val="006F05FA"/>
    <w:rsid w:val="006F113D"/>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163"/>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669DE"/>
    <w:rsid w:val="007704F3"/>
    <w:rsid w:val="007710F2"/>
    <w:rsid w:val="007716E9"/>
    <w:rsid w:val="00772C13"/>
    <w:rsid w:val="00773060"/>
    <w:rsid w:val="00773513"/>
    <w:rsid w:val="0077365E"/>
    <w:rsid w:val="007741BD"/>
    <w:rsid w:val="0077473F"/>
    <w:rsid w:val="00775C9E"/>
    <w:rsid w:val="0077653B"/>
    <w:rsid w:val="007775AA"/>
    <w:rsid w:val="00777708"/>
    <w:rsid w:val="007778B0"/>
    <w:rsid w:val="00777BDA"/>
    <w:rsid w:val="00781D02"/>
    <w:rsid w:val="007828E3"/>
    <w:rsid w:val="00782BB0"/>
    <w:rsid w:val="007831D6"/>
    <w:rsid w:val="00785111"/>
    <w:rsid w:val="00785A2E"/>
    <w:rsid w:val="007860B4"/>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1CC5"/>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89C"/>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AAE"/>
    <w:rsid w:val="00804B0A"/>
    <w:rsid w:val="00804D61"/>
    <w:rsid w:val="00804E0C"/>
    <w:rsid w:val="00807556"/>
    <w:rsid w:val="0080765B"/>
    <w:rsid w:val="00807D21"/>
    <w:rsid w:val="008104B8"/>
    <w:rsid w:val="00810748"/>
    <w:rsid w:val="008109CA"/>
    <w:rsid w:val="00811B86"/>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8E1"/>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1B78"/>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3D15"/>
    <w:rsid w:val="00885021"/>
    <w:rsid w:val="00885294"/>
    <w:rsid w:val="008853F8"/>
    <w:rsid w:val="00885EAA"/>
    <w:rsid w:val="00886C30"/>
    <w:rsid w:val="00886F70"/>
    <w:rsid w:val="00887099"/>
    <w:rsid w:val="008870EA"/>
    <w:rsid w:val="00887663"/>
    <w:rsid w:val="00887E71"/>
    <w:rsid w:val="00890CE6"/>
    <w:rsid w:val="00891958"/>
    <w:rsid w:val="00891A96"/>
    <w:rsid w:val="00892A08"/>
    <w:rsid w:val="008943CF"/>
    <w:rsid w:val="008945D6"/>
    <w:rsid w:val="00895C0F"/>
    <w:rsid w:val="00895FE5"/>
    <w:rsid w:val="00896FAB"/>
    <w:rsid w:val="008973E6"/>
    <w:rsid w:val="00897778"/>
    <w:rsid w:val="00897A39"/>
    <w:rsid w:val="00897BD4"/>
    <w:rsid w:val="00897C3B"/>
    <w:rsid w:val="008A08A4"/>
    <w:rsid w:val="008A15EC"/>
    <w:rsid w:val="008A1A20"/>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AC7"/>
    <w:rsid w:val="008B6DBE"/>
    <w:rsid w:val="008B73E8"/>
    <w:rsid w:val="008B7B4F"/>
    <w:rsid w:val="008B7F2F"/>
    <w:rsid w:val="008C0ECB"/>
    <w:rsid w:val="008C1818"/>
    <w:rsid w:val="008C30A0"/>
    <w:rsid w:val="008C3173"/>
    <w:rsid w:val="008C3DF1"/>
    <w:rsid w:val="008C42FB"/>
    <w:rsid w:val="008C45B6"/>
    <w:rsid w:val="008C54D9"/>
    <w:rsid w:val="008C57CD"/>
    <w:rsid w:val="008C5E4C"/>
    <w:rsid w:val="008C6BE4"/>
    <w:rsid w:val="008D0472"/>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643"/>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4E22"/>
    <w:rsid w:val="009159E4"/>
    <w:rsid w:val="009166D3"/>
    <w:rsid w:val="00916BA8"/>
    <w:rsid w:val="0092079F"/>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156"/>
    <w:rsid w:val="00930F9F"/>
    <w:rsid w:val="00930FF5"/>
    <w:rsid w:val="00931D1D"/>
    <w:rsid w:val="00931D32"/>
    <w:rsid w:val="009323E1"/>
    <w:rsid w:val="009324A8"/>
    <w:rsid w:val="00932532"/>
    <w:rsid w:val="00933E6D"/>
    <w:rsid w:val="00934A46"/>
    <w:rsid w:val="009357FF"/>
    <w:rsid w:val="00935BC3"/>
    <w:rsid w:val="00937266"/>
    <w:rsid w:val="00940AA9"/>
    <w:rsid w:val="00940D9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4217"/>
    <w:rsid w:val="009A53DE"/>
    <w:rsid w:val="009A5649"/>
    <w:rsid w:val="009A6D30"/>
    <w:rsid w:val="009A78A9"/>
    <w:rsid w:val="009B0854"/>
    <w:rsid w:val="009B0ADA"/>
    <w:rsid w:val="009B0F2B"/>
    <w:rsid w:val="009B1482"/>
    <w:rsid w:val="009B1B86"/>
    <w:rsid w:val="009B35C5"/>
    <w:rsid w:val="009B35DC"/>
    <w:rsid w:val="009B3740"/>
    <w:rsid w:val="009B579E"/>
    <w:rsid w:val="009B5866"/>
    <w:rsid w:val="009B5A24"/>
    <w:rsid w:val="009B6153"/>
    <w:rsid w:val="009B7708"/>
    <w:rsid w:val="009C0A23"/>
    <w:rsid w:val="009C28A1"/>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122"/>
    <w:rsid w:val="009F1250"/>
    <w:rsid w:val="009F1461"/>
    <w:rsid w:val="009F1EDE"/>
    <w:rsid w:val="009F2761"/>
    <w:rsid w:val="009F2CEE"/>
    <w:rsid w:val="009F2EF1"/>
    <w:rsid w:val="009F3F1F"/>
    <w:rsid w:val="009F426B"/>
    <w:rsid w:val="009F4ACC"/>
    <w:rsid w:val="009F6192"/>
    <w:rsid w:val="009F672D"/>
    <w:rsid w:val="009F6E2E"/>
    <w:rsid w:val="009F7312"/>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5BC"/>
    <w:rsid w:val="00A12A59"/>
    <w:rsid w:val="00A1366E"/>
    <w:rsid w:val="00A1485F"/>
    <w:rsid w:val="00A14BF4"/>
    <w:rsid w:val="00A14F1C"/>
    <w:rsid w:val="00A156C9"/>
    <w:rsid w:val="00A15AE5"/>
    <w:rsid w:val="00A16536"/>
    <w:rsid w:val="00A16E35"/>
    <w:rsid w:val="00A20159"/>
    <w:rsid w:val="00A21164"/>
    <w:rsid w:val="00A2137A"/>
    <w:rsid w:val="00A21480"/>
    <w:rsid w:val="00A239AE"/>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BFC"/>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D31"/>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717"/>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359"/>
    <w:rsid w:val="00AB3600"/>
    <w:rsid w:val="00AB3A4C"/>
    <w:rsid w:val="00AB3ACD"/>
    <w:rsid w:val="00AB3B7A"/>
    <w:rsid w:val="00AB5F0B"/>
    <w:rsid w:val="00AB6199"/>
    <w:rsid w:val="00AB67A6"/>
    <w:rsid w:val="00AB6C64"/>
    <w:rsid w:val="00AB7365"/>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5E02"/>
    <w:rsid w:val="00AC6DB3"/>
    <w:rsid w:val="00AC7B9C"/>
    <w:rsid w:val="00AD04FE"/>
    <w:rsid w:val="00AD1327"/>
    <w:rsid w:val="00AD15D0"/>
    <w:rsid w:val="00AD172C"/>
    <w:rsid w:val="00AD1F50"/>
    <w:rsid w:val="00AD456B"/>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49C8"/>
    <w:rsid w:val="00B461DF"/>
    <w:rsid w:val="00B4644D"/>
    <w:rsid w:val="00B465F0"/>
    <w:rsid w:val="00B46E48"/>
    <w:rsid w:val="00B47162"/>
    <w:rsid w:val="00B477C5"/>
    <w:rsid w:val="00B47A98"/>
    <w:rsid w:val="00B47CBA"/>
    <w:rsid w:val="00B50D1C"/>
    <w:rsid w:val="00B513CC"/>
    <w:rsid w:val="00B51564"/>
    <w:rsid w:val="00B51582"/>
    <w:rsid w:val="00B5186D"/>
    <w:rsid w:val="00B52424"/>
    <w:rsid w:val="00B52926"/>
    <w:rsid w:val="00B52F0C"/>
    <w:rsid w:val="00B52F2D"/>
    <w:rsid w:val="00B5372D"/>
    <w:rsid w:val="00B54526"/>
    <w:rsid w:val="00B54B31"/>
    <w:rsid w:val="00B55FE1"/>
    <w:rsid w:val="00B569FC"/>
    <w:rsid w:val="00B57430"/>
    <w:rsid w:val="00B574C8"/>
    <w:rsid w:val="00B57C0E"/>
    <w:rsid w:val="00B612C6"/>
    <w:rsid w:val="00B61ED0"/>
    <w:rsid w:val="00B62807"/>
    <w:rsid w:val="00B6319D"/>
    <w:rsid w:val="00B63CD6"/>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7CC"/>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1B26"/>
    <w:rsid w:val="00BC2111"/>
    <w:rsid w:val="00BC2848"/>
    <w:rsid w:val="00BC2B25"/>
    <w:rsid w:val="00BC3272"/>
    <w:rsid w:val="00BC3508"/>
    <w:rsid w:val="00BC3CA7"/>
    <w:rsid w:val="00BC3F0E"/>
    <w:rsid w:val="00BC3F14"/>
    <w:rsid w:val="00BC47DC"/>
    <w:rsid w:val="00BC51D6"/>
    <w:rsid w:val="00BC51E9"/>
    <w:rsid w:val="00BC5B1B"/>
    <w:rsid w:val="00BC62C0"/>
    <w:rsid w:val="00BC633A"/>
    <w:rsid w:val="00BC6777"/>
    <w:rsid w:val="00BC67F7"/>
    <w:rsid w:val="00BC6D95"/>
    <w:rsid w:val="00BC79A6"/>
    <w:rsid w:val="00BD07B4"/>
    <w:rsid w:val="00BD137E"/>
    <w:rsid w:val="00BD1CC1"/>
    <w:rsid w:val="00BD2A68"/>
    <w:rsid w:val="00BD2E54"/>
    <w:rsid w:val="00BD5061"/>
    <w:rsid w:val="00BD5527"/>
    <w:rsid w:val="00BD589A"/>
    <w:rsid w:val="00BD5D53"/>
    <w:rsid w:val="00BD672B"/>
    <w:rsid w:val="00BD6ED4"/>
    <w:rsid w:val="00BD7564"/>
    <w:rsid w:val="00BE0818"/>
    <w:rsid w:val="00BE1277"/>
    <w:rsid w:val="00BE13C4"/>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D59"/>
    <w:rsid w:val="00BF35E3"/>
    <w:rsid w:val="00BF3789"/>
    <w:rsid w:val="00BF4287"/>
    <w:rsid w:val="00BF4324"/>
    <w:rsid w:val="00BF4E26"/>
    <w:rsid w:val="00BF5865"/>
    <w:rsid w:val="00BF5927"/>
    <w:rsid w:val="00BF5953"/>
    <w:rsid w:val="00BF6C09"/>
    <w:rsid w:val="00BF6C1A"/>
    <w:rsid w:val="00BF7A85"/>
    <w:rsid w:val="00BF7D3E"/>
    <w:rsid w:val="00BF7DAC"/>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6F55"/>
    <w:rsid w:val="00C100F8"/>
    <w:rsid w:val="00C101C9"/>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314"/>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8D8"/>
    <w:rsid w:val="00C46C79"/>
    <w:rsid w:val="00C50021"/>
    <w:rsid w:val="00C50045"/>
    <w:rsid w:val="00C50267"/>
    <w:rsid w:val="00C50446"/>
    <w:rsid w:val="00C511E1"/>
    <w:rsid w:val="00C51255"/>
    <w:rsid w:val="00C52389"/>
    <w:rsid w:val="00C53013"/>
    <w:rsid w:val="00C538E1"/>
    <w:rsid w:val="00C53D02"/>
    <w:rsid w:val="00C53E48"/>
    <w:rsid w:val="00C54C13"/>
    <w:rsid w:val="00C54D4A"/>
    <w:rsid w:val="00C54DF5"/>
    <w:rsid w:val="00C54E36"/>
    <w:rsid w:val="00C54E64"/>
    <w:rsid w:val="00C552DA"/>
    <w:rsid w:val="00C55C44"/>
    <w:rsid w:val="00C55C7E"/>
    <w:rsid w:val="00C600E7"/>
    <w:rsid w:val="00C60692"/>
    <w:rsid w:val="00C60873"/>
    <w:rsid w:val="00C60AD4"/>
    <w:rsid w:val="00C60E78"/>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6FC9"/>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590"/>
    <w:rsid w:val="00CB7F0D"/>
    <w:rsid w:val="00CC0702"/>
    <w:rsid w:val="00CC0EC9"/>
    <w:rsid w:val="00CC10A8"/>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266A"/>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FAC"/>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BB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72E"/>
    <w:rsid w:val="00D91B32"/>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07F3"/>
    <w:rsid w:val="00DC1591"/>
    <w:rsid w:val="00DC2163"/>
    <w:rsid w:val="00DC2997"/>
    <w:rsid w:val="00DC3267"/>
    <w:rsid w:val="00DC34A6"/>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64F"/>
    <w:rsid w:val="00DE3856"/>
    <w:rsid w:val="00DE415E"/>
    <w:rsid w:val="00DE5343"/>
    <w:rsid w:val="00DE5BEF"/>
    <w:rsid w:val="00DE66CD"/>
    <w:rsid w:val="00DE6958"/>
    <w:rsid w:val="00DE755D"/>
    <w:rsid w:val="00DF14FB"/>
    <w:rsid w:val="00DF1A23"/>
    <w:rsid w:val="00DF5638"/>
    <w:rsid w:val="00DF5B3B"/>
    <w:rsid w:val="00DF5C9E"/>
    <w:rsid w:val="00DF63C8"/>
    <w:rsid w:val="00DF64CA"/>
    <w:rsid w:val="00DF6C92"/>
    <w:rsid w:val="00DF6F87"/>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159"/>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474"/>
    <w:rsid w:val="00E83A86"/>
    <w:rsid w:val="00E850F3"/>
    <w:rsid w:val="00E8686D"/>
    <w:rsid w:val="00E86A27"/>
    <w:rsid w:val="00E86CCA"/>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A9"/>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0AD"/>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3C2E"/>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5B6"/>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0891"/>
    <w:rsid w:val="00F10AA3"/>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5D4A"/>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527"/>
    <w:rsid w:val="00F729CF"/>
    <w:rsid w:val="00F72FC2"/>
    <w:rsid w:val="00F749A8"/>
    <w:rsid w:val="00F74F32"/>
    <w:rsid w:val="00F75825"/>
    <w:rsid w:val="00F75C81"/>
    <w:rsid w:val="00F760BB"/>
    <w:rsid w:val="00F76A97"/>
    <w:rsid w:val="00F77050"/>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99F"/>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5F5"/>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CA63DF2-754D-4BCB-ACA9-915B4767C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C1CC5"/>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17930">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638475">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29301242">
      <w:bodyDiv w:val="1"/>
      <w:marLeft w:val="0"/>
      <w:marRight w:val="0"/>
      <w:marTop w:val="0"/>
      <w:marBottom w:val="0"/>
      <w:divBdr>
        <w:top w:val="none" w:sz="0" w:space="0" w:color="auto"/>
        <w:left w:val="none" w:sz="0" w:space="0" w:color="auto"/>
        <w:bottom w:val="none" w:sz="0" w:space="0" w:color="auto"/>
        <w:right w:val="none" w:sz="0" w:space="0" w:color="auto"/>
      </w:divBdr>
    </w:div>
    <w:div w:id="529875653">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045354">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5378951">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07304">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37360715">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20D38-806D-4383-936B-E896452CF6EE}"/>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546</Words>
  <Characters>3789</Characters>
  <Application>Microsoft Office Word</Application>
  <DocSecurity>0</DocSecurity>
  <Lines>70</Lines>
  <Paragraphs>48</Paragraphs>
  <ScaleCrop>false</ScaleCrop>
  <HeadingPairs>
    <vt:vector size="2" baseType="variant">
      <vt:variant>
        <vt:lpstr>Title</vt:lpstr>
      </vt:variant>
      <vt:variant>
        <vt:i4>1</vt:i4>
      </vt:variant>
    </vt:vector>
  </HeadingPairs>
  <TitlesOfParts>
    <vt:vector size="1" baseType="lpstr">
      <vt:lpstr>deferoxamine-Desferal 1620-A SGM 2024</vt:lpstr>
    </vt:vector>
  </TitlesOfParts>
  <Company>PCS Health Systems</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deferoxamine-Desferal SGM 1620-A</dc:title>
  <dc:subject/>
  <dc:creator>CVS Caremark</dc:creator>
  <cp:keywords/>
  <cp:lastModifiedBy>Huerta, Linda M</cp:lastModifiedBy>
  <cp:revision>4</cp:revision>
  <cp:lastPrinted>2018-01-09T09:01:00Z</cp:lastPrinted>
  <dcterms:created xsi:type="dcterms:W3CDTF">2025-02-27T16:31:00Z</dcterms:created>
  <dcterms:modified xsi:type="dcterms:W3CDTF">2025-02-27T16:33:00Z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1337000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